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720" w:hanging="360"/>
        <w:jc w:val="center"/>
        <w:rPr/>
      </w:pPr>
      <w:bookmarkStart w:colFirst="0" w:colLast="0" w:name="_xavr6jur7wts" w:id="0"/>
      <w:bookmarkEnd w:id="0"/>
      <w:r w:rsidDel="00000000" w:rsidR="00000000" w:rsidRPr="00000000">
        <w:rPr>
          <w:rtl w:val="0"/>
        </w:rPr>
        <w:t xml:space="preserve">Регистрация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Для входа в личный кабинет </w:t>
      </w:r>
      <w:r w:rsidDel="00000000" w:rsidR="00000000" w:rsidRPr="00000000">
        <w:rPr>
          <w:rtl w:val="0"/>
        </w:rPr>
        <w:t xml:space="preserve">Фонда развития промышленности </w:t>
      </w:r>
      <w:r w:rsidDel="00000000" w:rsidR="00000000" w:rsidRPr="00000000">
        <w:rPr>
          <w:sz w:val="22"/>
          <w:szCs w:val="22"/>
          <w:rtl w:val="0"/>
        </w:rPr>
        <w:t xml:space="preserve">Забайкальского края </w:t>
      </w:r>
      <w:r w:rsidDel="00000000" w:rsidR="00000000" w:rsidRPr="00000000">
        <w:rPr>
          <w:rtl w:val="0"/>
        </w:rPr>
        <w:t xml:space="preserve">нужна регистрация. Для этого по ссылке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http://lk.frpzk.ru/</w:t>
        </w:r>
      </w:hyperlink>
      <w:r w:rsidDel="00000000" w:rsidR="00000000" w:rsidRPr="00000000">
        <w:rPr>
          <w:rtl w:val="0"/>
        </w:rPr>
        <w:t xml:space="preserve"> нажимаем кнопку “Зарегистрироваться”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772025" cy="4371975"/>
            <wp:effectExtent b="0" l="0" r="0" t="0"/>
            <wp:docPr id="2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37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Далее нужно заполнить все необходимые формы регистрации, выполняя обязательные требования.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9718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070100"/>
            <wp:effectExtent b="0" l="0" r="0" t="0"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660400"/>
            <wp:effectExtent b="0" l="0" r="0" t="0"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Если нажимая кнопку “зарегистрироваться” регистрация не проходит, и появляется всплывающее окно то проверьте, правильно ли и все ли поля заполнены в регистрационной форме.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667250" cy="1933575"/>
            <wp:effectExtent b="0" l="0" r="0" t="0"/>
            <wp:docPr id="1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После регистрации на указанный Вами email будут высланы данные для входа в систему (логин и пароль), а также информация об изменении статуса заявки.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ind w:left="720" w:hanging="360"/>
        <w:jc w:val="center"/>
        <w:rPr/>
      </w:pPr>
      <w:bookmarkStart w:colFirst="0" w:colLast="0" w:name="_tuied0wqdvep" w:id="1"/>
      <w:bookmarkEnd w:id="1"/>
      <w:r w:rsidDel="00000000" w:rsidR="00000000" w:rsidRPr="00000000">
        <w:rPr>
          <w:rtl w:val="0"/>
        </w:rPr>
        <w:t xml:space="preserve">Работа с личным кабинетом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Для входа в личный кабинет используйте адрес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http://lk.frpzk.ru/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Введите логин и пароль, высланные на email, и нажмите кнопку “Вход”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657725" cy="41148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При входе в личный кабинет вам будут доступны функции кабинета заявителя, такие как: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889000"/>
            <wp:effectExtent b="0" l="0" r="0" t="0"/>
            <wp:docPr id="11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“Заявки/Проекты (Общий реестр)”.</w:t>
      </w:r>
      <w:r w:rsidDel="00000000" w:rsidR="00000000" w:rsidRPr="00000000">
        <w:rPr>
          <w:rtl w:val="0"/>
        </w:rPr>
        <w:t xml:space="preserve">  Этот раздел открывается сразу при входе в личный кабинет или для входа в него нужно нажать соответствующую кнопку (1)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1206500"/>
            <wp:effectExtent b="0" l="0" r="0" t="0"/>
            <wp:docPr id="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“Мониторинг реализации проектов”.</w:t>
      </w:r>
      <w:r w:rsidDel="00000000" w:rsidR="00000000" w:rsidRPr="00000000">
        <w:rPr>
          <w:rtl w:val="0"/>
        </w:rPr>
        <w:t xml:space="preserve">  В этом разделе будут отображаться проекты, получившие статус “Договор заключен”, после просмотра специалистом фонда. 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97790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“Анкета организации”. </w:t>
      </w:r>
      <w:r w:rsidDel="00000000" w:rsidR="00000000" w:rsidRPr="00000000">
        <w:rPr>
          <w:rtl w:val="0"/>
        </w:rPr>
        <w:t xml:space="preserve">Здесь можно изменить данные об организации.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2832100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“Личная информация”. </w:t>
      </w:r>
      <w:r w:rsidDel="00000000" w:rsidR="00000000" w:rsidRPr="00000000">
        <w:rPr>
          <w:rtl w:val="0"/>
        </w:rPr>
        <w:t xml:space="preserve">В этом разделе расположены личные данные заявителя. В нём можно изменить некоторые поля, в том числе пароль.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9497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wqnyvc17bsou" w:id="2"/>
      <w:bookmarkEnd w:id="2"/>
      <w:r w:rsidDel="00000000" w:rsidR="00000000" w:rsidRPr="00000000">
        <w:rPr>
          <w:rtl w:val="0"/>
        </w:rPr>
        <w:t xml:space="preserve">2.1. Заявки/Проекты (Общий реестр)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Для того, чтобы добавить заявку, необходимо внизу страницы нажать кнопку “Добавить заявку”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3067050" cy="733425"/>
            <wp:effectExtent b="0" l="0" r="0" t="0"/>
            <wp:docPr id="2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 следующем окне необходимо выбрать программу фонда. Ссылки на описание каждой программы расположены ниже кнопки с программой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1242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2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Выбрав программу, Вы попадаете на страницу, где необходимо заполнить вкладки о юридическом лице и проекте.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584200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Заполнив информацию во всех семи вкладках, нажмите кнопку "Отправить заявку". В виду большого количества заполняемой информации, предусмотрена возможность не заполнять все вкладки сейчас, а сохранить заявку как черновик и вернуться к заполнению позже.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508000"/>
            <wp:effectExtent b="0" l="0" r="0" t="0"/>
            <wp:docPr id="2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Перед отправкой заявки настоятельно рекомендуется внимательно прочитать содержимое последней вкладки “Отправить заявку”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336800"/>
            <wp:effectExtent b="0" l="0" r="0" t="0"/>
            <wp:docPr id="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После отправки заявки на рассмотрение специалистами фонда, проект пройдет 5 этапов рассмотрения: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 этап. Экспресс-оценка,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II этап. Входная экспертиза,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III этап. Комплексная экспертиза,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IV этап. Экспертный совет / Наблюдательный совет,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V этап. Подписание договора займа,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Изменения этапов и статусов своей заявки Вы сможете отследить в личном кабинете в списке своих заявок/проектов или нажав на конкретную заявку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10414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438400"/>
            <wp:effectExtent b="0" l="0" r="0" t="0"/>
            <wp:docPr id="27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По своей заявке Вы можете вести переписку с ответственным за Ваш проект, добавляя комментарий, отправить файл (размер файла не должен превышать 64 Мб)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1168400"/>
            <wp:effectExtent b="0" l="0" r="0" t="0"/>
            <wp:docPr id="1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Также здесь вы сможете просмотреть, внести изменения в заявку, и просмотреть добавленные документы. Пока заявка находится в статусах «Черновик» и «Входная экспертиза заявки», добавление документов в раздел «Документы» невозможно.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rPr/>
      </w:pPr>
      <w:bookmarkStart w:colFirst="0" w:colLast="0" w:name="_xy9nbvi7tnx0" w:id="3"/>
      <w:bookmarkEnd w:id="3"/>
      <w:r w:rsidDel="00000000" w:rsidR="00000000" w:rsidRPr="00000000">
        <w:rPr>
          <w:rtl w:val="0"/>
        </w:rPr>
        <w:t xml:space="preserve">2.2. Мониторинг (доступен после получения статуса “Договор заключен”)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После того как з</w:t>
      </w:r>
      <w:r w:rsidDel="00000000" w:rsidR="00000000" w:rsidRPr="00000000">
        <w:rPr>
          <w:rtl w:val="0"/>
        </w:rPr>
        <w:t xml:space="preserve">аявка получит статус "Договор заключен", станет доступна вкладка "Мониторинг"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209800"/>
            <wp:effectExtent b="0" l="0" r="0" t="0"/>
            <wp:docPr id="2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Периодами отчетности по мониторингу являются 1 квартал и 1 год.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Для работы с отчётностью за необходимый период, нужно выбрать период, нажав на него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1638300"/>
            <wp:effectExtent b="0" l="0" r="0" t="0"/>
            <wp:docPr id="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Далее все действия кнопок (вкладок) относятся к выбранному отчётному периоду. Чтобы вернуться выбору периода необходимо нажать кнопку “Выйти из мониторинга”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673100"/>
            <wp:effectExtent b="0" l="0" r="0" t="0"/>
            <wp:docPr id="24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При наличии формы, заполняется предложенная </w:t>
      </w:r>
      <w:r w:rsidDel="00000000" w:rsidR="00000000" w:rsidRPr="00000000">
        <w:rPr>
          <w:b w:val="1"/>
          <w:rtl w:val="0"/>
        </w:rPr>
        <w:t xml:space="preserve">Отчетная форма</w:t>
      </w:r>
      <w:r w:rsidDel="00000000" w:rsidR="00000000" w:rsidRPr="00000000">
        <w:rPr>
          <w:rtl w:val="0"/>
        </w:rPr>
        <w:t xml:space="preserve"> для внесения показателей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2247900"/>
            <wp:effectExtent b="0" l="0" r="0" t="0"/>
            <wp:docPr id="25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Если же заполнение отчётной формы за текущий период не предусмотрено, можете перейти к загрузке файлов.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1079500"/>
            <wp:effectExtent b="0" l="0" r="0" t="0"/>
            <wp:docPr id="2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Также вы можете скачать форму отчетности за выбранный период, нажав кнопку “Скачать”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457200"/>
            <wp:effectExtent b="0" l="0" r="0" t="0"/>
            <wp:docPr id="2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После заполнения отчётной формы или если таковая не предусмотрена за отчётный период, можно переходить к загрузке документов, нажав на соответствующую кнопку </w:t>
      </w:r>
      <w:r w:rsidDel="00000000" w:rsidR="00000000" w:rsidRPr="00000000">
        <w:rPr>
          <w:b w:val="1"/>
          <w:rtl w:val="0"/>
        </w:rPr>
        <w:t xml:space="preserve">“Документы”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1866900"/>
            <wp:effectExtent b="0" l="0" r="0" t="0"/>
            <wp:docPr id="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Кнопка (вкладка) </w:t>
      </w:r>
      <w:r w:rsidDel="00000000" w:rsidR="00000000" w:rsidRPr="00000000">
        <w:rPr>
          <w:b w:val="1"/>
          <w:rtl w:val="0"/>
        </w:rPr>
        <w:t xml:space="preserve">“Уведомления Фонда, работа с обращениям</w:t>
      </w:r>
      <w:r w:rsidDel="00000000" w:rsidR="00000000" w:rsidRPr="00000000">
        <w:rPr>
          <w:rtl w:val="0"/>
        </w:rPr>
        <w:t xml:space="preserve">и” предусмотрена для того, чтобы вести переписку с ответственным за Ваш проект, добавляя комментарий, отправить файл (размер файла не должен превышать 64 Мб)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3721100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Для того чтобы вернуться к списку отчётных периодов необходимо нажать кнопку “Выйти из мониторинга”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1200" cy="330200"/>
            <wp:effectExtent b="0" l="0" r="0" t="0"/>
            <wp:docPr id="16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image" Target="media/image27.png"/><Relationship Id="rId21" Type="http://schemas.openxmlformats.org/officeDocument/2006/relationships/image" Target="media/image5.png"/><Relationship Id="rId24" Type="http://schemas.openxmlformats.org/officeDocument/2006/relationships/image" Target="media/image2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13.png"/><Relationship Id="rId25" Type="http://schemas.openxmlformats.org/officeDocument/2006/relationships/image" Target="media/image24.png"/><Relationship Id="rId28" Type="http://schemas.openxmlformats.org/officeDocument/2006/relationships/image" Target="media/image12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hyperlink" Target="http://lk.frpzk.ru/" TargetMode="External"/><Relationship Id="rId29" Type="http://schemas.openxmlformats.org/officeDocument/2006/relationships/image" Target="media/image26.png"/><Relationship Id="rId7" Type="http://schemas.openxmlformats.org/officeDocument/2006/relationships/image" Target="media/image25.png"/><Relationship Id="rId8" Type="http://schemas.openxmlformats.org/officeDocument/2006/relationships/image" Target="media/image4.png"/><Relationship Id="rId31" Type="http://schemas.openxmlformats.org/officeDocument/2006/relationships/image" Target="media/image17.png"/><Relationship Id="rId30" Type="http://schemas.openxmlformats.org/officeDocument/2006/relationships/image" Target="media/image23.png"/><Relationship Id="rId11" Type="http://schemas.openxmlformats.org/officeDocument/2006/relationships/image" Target="media/image9.png"/><Relationship Id="rId33" Type="http://schemas.openxmlformats.org/officeDocument/2006/relationships/image" Target="media/image11.png"/><Relationship Id="rId10" Type="http://schemas.openxmlformats.org/officeDocument/2006/relationships/image" Target="media/image16.png"/><Relationship Id="rId32" Type="http://schemas.openxmlformats.org/officeDocument/2006/relationships/image" Target="media/image21.png"/><Relationship Id="rId13" Type="http://schemas.openxmlformats.org/officeDocument/2006/relationships/image" Target="media/image1.png"/><Relationship Id="rId35" Type="http://schemas.openxmlformats.org/officeDocument/2006/relationships/image" Target="media/image18.png"/><Relationship Id="rId12" Type="http://schemas.openxmlformats.org/officeDocument/2006/relationships/hyperlink" Target="http://lk.frpzk.ru/" TargetMode="External"/><Relationship Id="rId34" Type="http://schemas.openxmlformats.org/officeDocument/2006/relationships/image" Target="media/image6.png"/><Relationship Id="rId15" Type="http://schemas.openxmlformats.org/officeDocument/2006/relationships/image" Target="media/image20.png"/><Relationship Id="rId14" Type="http://schemas.openxmlformats.org/officeDocument/2006/relationships/image" Target="media/image15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19" Type="http://schemas.openxmlformats.org/officeDocument/2006/relationships/image" Target="media/image28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